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jc w:val="center"/>
        <w:ind w:right="20"/>
        <w:spacing w:after="0"/>
        <w:rPr>
          <w:sz w:val="20"/>
          <w:szCs w:val="20"/>
          <w:color w:val="auto"/>
        </w:rPr>
      </w:pPr>
      <w:r>
        <w:rPr>
          <w:rFonts w:ascii="Times New Roman" w:cs="Times New Roman" w:eastAsia="Times New Roman" w:hAnsi="Times New Roman"/>
          <w:sz w:val="32"/>
          <w:szCs w:val="32"/>
          <w:b w:val="1"/>
          <w:bCs w:val="1"/>
          <w:color w:val="auto"/>
        </w:rPr>
        <w:drawing>
          <wp:anchor simplePos="0" relativeHeight="251657728" behindDoc="1" locked="0" layoutInCell="0" allowOverlap="1">
            <wp:simplePos x="0" y="0"/>
            <wp:positionH relativeFrom="page">
              <wp:posOffset>276860</wp:posOffset>
            </wp:positionH>
            <wp:positionV relativeFrom="page">
              <wp:posOffset>166370</wp:posOffset>
            </wp:positionV>
            <wp:extent cx="6995160" cy="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6995160" cy="8255"/>
                    </a:xfrm>
                    <a:prstGeom prst="rect">
                      <a:avLst/>
                    </a:prstGeom>
                    <a:noFill/>
                  </pic:spPr>
                </pic:pic>
              </a:graphicData>
            </a:graphic>
          </wp:anchor>
        </w:drawing>
        <w:drawing>
          <wp:anchor simplePos="0" relativeHeight="251657728" behindDoc="1" locked="0" layoutInCell="0" allowOverlap="1">
            <wp:simplePos x="0" y="0"/>
            <wp:positionH relativeFrom="page">
              <wp:posOffset>276860</wp:posOffset>
            </wp:positionH>
            <wp:positionV relativeFrom="page">
              <wp:posOffset>208915</wp:posOffset>
            </wp:positionV>
            <wp:extent cx="6995160" cy="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6995160" cy="8255"/>
                    </a:xfrm>
                    <a:prstGeom prst="rect">
                      <a:avLst/>
                    </a:prstGeom>
                    <a:noFill/>
                  </pic:spPr>
                </pic:pic>
              </a:graphicData>
            </a:graphic>
          </wp:anchor>
        </w:drawing>
        <w:t>UNITED STATES</w:t>
      </w:r>
    </w:p>
    <w:p>
      <w:pPr>
        <w:spacing w:after="0" w:line="37"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32"/>
          <w:szCs w:val="32"/>
          <w:b w:val="1"/>
          <w:bCs w:val="1"/>
          <w:color w:val="auto"/>
        </w:rPr>
        <w:t>SECURITIES AND EXCHANGE COMMISSION</w:t>
      </w: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WASHINGTON, D.C. 20549</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158750</wp:posOffset>
            </wp:positionV>
            <wp:extent cx="1474470" cy="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345"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32"/>
          <w:szCs w:val="32"/>
          <w:b w:val="1"/>
          <w:bCs w:val="1"/>
          <w:color w:val="auto"/>
        </w:rPr>
        <w:t>FORM 8-K</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190500</wp:posOffset>
            </wp:positionV>
            <wp:extent cx="1474470" cy="825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211"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2"/>
          <w:szCs w:val="22"/>
          <w:b w:val="1"/>
          <w:bCs w:val="1"/>
          <w:color w:val="auto"/>
        </w:rPr>
        <w:t>CURRENT REPORT</w:t>
      </w:r>
    </w:p>
    <w:p>
      <w:pPr>
        <w:spacing w:after="0" w:line="8"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PURSUANT TO SECTION 13 OR 15(d)</w:t>
      </w: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OF THE SECURITIES EXCHANGE ACT OF 1934</w:t>
      </w:r>
    </w:p>
    <w:p>
      <w:pPr>
        <w:spacing w:after="0" w:line="97"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Date of Report (Date of earliest event reported): July 11, 2024</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184785</wp:posOffset>
            </wp:positionV>
            <wp:extent cx="1474470" cy="889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1474470" cy="8890"/>
                    </a:xfrm>
                    <a:prstGeom prst="rect">
                      <a:avLst/>
                    </a:prstGeom>
                    <a:noFill/>
                  </pic:spPr>
                </pic:pic>
              </a:graphicData>
            </a:graphic>
          </wp:anchor>
        </w:drawing>
      </w:r>
    </w:p>
    <w:p>
      <w:pPr>
        <w:spacing w:after="0" w:line="369"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42"/>
          <w:szCs w:val="42"/>
          <w:b w:val="1"/>
          <w:bCs w:val="1"/>
          <w:color w:val="auto"/>
        </w:rPr>
        <w:t>MICROSTRATEGY INCORPORATED</w:t>
      </w:r>
    </w:p>
    <w:p>
      <w:pPr>
        <w:spacing w:after="0" w:line="70"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(Exact name of registrant as specified in its charter)</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175895</wp:posOffset>
            </wp:positionV>
            <wp:extent cx="1474470" cy="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ectPr>
          <w:pgSz w:w="11900" w:h="16838" w:orient="portrait"/>
          <w:cols w:equalWidth="0" w:num="1">
            <w:col w:w="11020"/>
          </w:cols>
          <w:pgMar w:left="440" w:top="376" w:right="439" w:bottom="1440" w:gutter="0" w:footer="0" w:header="0"/>
        </w:sectPr>
      </w:pPr>
    </w:p>
    <w:p>
      <w:pPr>
        <w:spacing w:after="0" w:line="200" w:lineRule="exact"/>
        <w:rPr>
          <w:sz w:val="24"/>
          <w:szCs w:val="24"/>
          <w:color w:val="auto"/>
        </w:rPr>
      </w:pPr>
    </w:p>
    <w:p>
      <w:pPr>
        <w:spacing w:after="0" w:line="244" w:lineRule="exact"/>
        <w:rPr>
          <w:sz w:val="24"/>
          <w:szCs w:val="24"/>
          <w:color w:val="auto"/>
        </w:rPr>
      </w:pPr>
    </w:p>
    <w:p>
      <w:pPr>
        <w:ind w:left="1500"/>
        <w:spacing w:after="0"/>
        <w:rPr>
          <w:sz w:val="20"/>
          <w:szCs w:val="20"/>
          <w:color w:val="auto"/>
        </w:rPr>
      </w:pPr>
      <w:r>
        <w:rPr>
          <w:rFonts w:ascii="Times New Roman" w:cs="Times New Roman" w:eastAsia="Times New Roman" w:hAnsi="Times New Roman"/>
          <w:sz w:val="17"/>
          <w:szCs w:val="17"/>
          <w:b w:val="1"/>
          <w:bCs w:val="1"/>
          <w:color w:val="auto"/>
        </w:rPr>
        <w:t>Delaware</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24" w:lineRule="exact"/>
        <w:rPr>
          <w:sz w:val="24"/>
          <w:szCs w:val="24"/>
          <w:color w:val="auto"/>
        </w:rPr>
      </w:pPr>
    </w:p>
    <w:p>
      <w:pPr>
        <w:jc w:val="center"/>
        <w:ind w:right="2180"/>
        <w:spacing w:after="0"/>
        <w:rPr>
          <w:sz w:val="20"/>
          <w:szCs w:val="20"/>
          <w:color w:val="auto"/>
        </w:rPr>
      </w:pPr>
      <w:r>
        <w:rPr>
          <w:rFonts w:ascii="Times New Roman" w:cs="Times New Roman" w:eastAsia="Times New Roman" w:hAnsi="Times New Roman"/>
          <w:sz w:val="17"/>
          <w:szCs w:val="17"/>
          <w:b w:val="1"/>
          <w:bCs w:val="1"/>
          <w:color w:val="auto"/>
        </w:rPr>
        <w:t>0-24435</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24"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51-0323571</w:t>
      </w:r>
    </w:p>
    <w:p>
      <w:pPr>
        <w:spacing w:after="0" w:line="24" w:lineRule="exact"/>
        <w:rPr>
          <w:sz w:val="24"/>
          <w:szCs w:val="24"/>
          <w:color w:val="auto"/>
        </w:rPr>
      </w:pPr>
    </w:p>
    <w:p>
      <w:pPr>
        <w:sectPr>
          <w:pgSz w:w="11900" w:h="16838" w:orient="portrait"/>
          <w:cols w:equalWidth="0" w:num="3">
            <w:col w:w="4600" w:space="720"/>
            <w:col w:w="2780" w:space="720"/>
            <w:col w:w="2200"/>
          </w:cols>
          <w:pgMar w:left="440" w:top="376" w:right="439" w:bottom="1440" w:gutter="0" w:footer="0" w:header="0"/>
          <w:type w:val="continuous"/>
        </w:sectPr>
      </w:pPr>
    </w:p>
    <w:p>
      <w:pPr>
        <w:jc w:val="center"/>
        <w:ind w:right="760"/>
        <w:spacing w:after="0"/>
        <w:rPr>
          <w:sz w:val="20"/>
          <w:szCs w:val="20"/>
          <w:color w:val="auto"/>
        </w:rPr>
      </w:pPr>
      <w:r>
        <w:rPr>
          <w:rFonts w:ascii="Times New Roman" w:cs="Times New Roman" w:eastAsia="Times New Roman" w:hAnsi="Times New Roman"/>
          <w:sz w:val="14"/>
          <w:szCs w:val="14"/>
          <w:b w:val="1"/>
          <w:bCs w:val="1"/>
          <w:color w:val="auto"/>
        </w:rPr>
        <w:t>(State or other jurisdiction</w:t>
      </w:r>
    </w:p>
    <w:p>
      <w:pPr>
        <w:jc w:val="center"/>
        <w:ind w:right="760"/>
        <w:spacing w:after="0"/>
        <w:rPr>
          <w:sz w:val="20"/>
          <w:szCs w:val="20"/>
          <w:color w:val="auto"/>
        </w:rPr>
      </w:pPr>
      <w:r>
        <w:rPr>
          <w:rFonts w:ascii="Times New Roman" w:cs="Times New Roman" w:eastAsia="Times New Roman" w:hAnsi="Times New Roman"/>
          <w:sz w:val="14"/>
          <w:szCs w:val="14"/>
          <w:b w:val="1"/>
          <w:bCs w:val="1"/>
          <w:color w:val="auto"/>
        </w:rPr>
        <w:t>of incorporation)</w:t>
      </w:r>
    </w:p>
    <w:p>
      <w:pPr>
        <w:spacing w:after="0" w:line="20" w:lineRule="exact"/>
        <w:rPr>
          <w:sz w:val="24"/>
          <w:szCs w:val="24"/>
          <w:color w:val="auto"/>
        </w:rPr>
      </w:pPr>
      <w:r>
        <w:rPr>
          <w:sz w:val="24"/>
          <w:szCs w:val="24"/>
          <w:color w:val="auto"/>
        </w:rPr>
        <w:br w:type="column"/>
      </w:r>
    </w:p>
    <w:p>
      <w:pPr>
        <w:ind w:left="20"/>
        <w:spacing w:after="0"/>
        <w:rPr>
          <w:sz w:val="20"/>
          <w:szCs w:val="20"/>
          <w:color w:val="auto"/>
        </w:rPr>
      </w:pPr>
      <w:r>
        <w:rPr>
          <w:rFonts w:ascii="Times New Roman" w:cs="Times New Roman" w:eastAsia="Times New Roman" w:hAnsi="Times New Roman"/>
          <w:sz w:val="14"/>
          <w:szCs w:val="14"/>
          <w:b w:val="1"/>
          <w:bCs w:val="1"/>
          <w:color w:val="auto"/>
        </w:rPr>
        <w:t>(Commission</w:t>
      </w:r>
    </w:p>
    <w:p>
      <w:pPr>
        <w:spacing w:after="0"/>
        <w:rPr>
          <w:sz w:val="20"/>
          <w:szCs w:val="20"/>
          <w:color w:val="auto"/>
        </w:rPr>
      </w:pPr>
      <w:r>
        <w:rPr>
          <w:rFonts w:ascii="Times New Roman" w:cs="Times New Roman" w:eastAsia="Times New Roman" w:hAnsi="Times New Roman"/>
          <w:sz w:val="14"/>
          <w:szCs w:val="14"/>
          <w:b w:val="1"/>
          <w:bCs w:val="1"/>
          <w:color w:val="auto"/>
        </w:rPr>
        <w:t>File Number)</w:t>
      </w:r>
    </w:p>
    <w:p>
      <w:pPr>
        <w:spacing w:after="0" w:line="20" w:lineRule="exact"/>
        <w:rPr>
          <w:sz w:val="24"/>
          <w:szCs w:val="24"/>
          <w:color w:val="auto"/>
        </w:rPr>
      </w:pPr>
      <w:r>
        <w:rPr>
          <w:sz w:val="24"/>
          <w:szCs w:val="24"/>
          <w:color w:val="auto"/>
        </w:rPr>
        <w:br w:type="column"/>
      </w:r>
    </w:p>
    <w:p>
      <w:pPr>
        <w:ind w:left="60"/>
        <w:spacing w:after="0"/>
        <w:rPr>
          <w:sz w:val="20"/>
          <w:szCs w:val="20"/>
          <w:color w:val="auto"/>
        </w:rPr>
      </w:pPr>
      <w:r>
        <w:rPr>
          <w:rFonts w:ascii="Times New Roman" w:cs="Times New Roman" w:eastAsia="Times New Roman" w:hAnsi="Times New Roman"/>
          <w:sz w:val="14"/>
          <w:szCs w:val="14"/>
          <w:b w:val="1"/>
          <w:bCs w:val="1"/>
          <w:color w:val="auto"/>
        </w:rPr>
        <w:t>(I.R.S. Employer</w:t>
      </w:r>
    </w:p>
    <w:p>
      <w:pPr>
        <w:spacing w:after="0"/>
        <w:rPr>
          <w:sz w:val="20"/>
          <w:szCs w:val="20"/>
          <w:color w:val="auto"/>
        </w:rPr>
      </w:pPr>
      <w:r>
        <w:rPr>
          <w:rFonts w:ascii="Times New Roman" w:cs="Times New Roman" w:eastAsia="Times New Roman" w:hAnsi="Times New Roman"/>
          <w:sz w:val="14"/>
          <w:szCs w:val="14"/>
          <w:b w:val="1"/>
          <w:bCs w:val="1"/>
          <w:color w:val="auto"/>
        </w:rPr>
        <w:t>Identification No.)</w:t>
      </w:r>
    </w:p>
    <w:p>
      <w:pPr>
        <w:spacing w:after="0" w:line="134" w:lineRule="exact"/>
        <w:rPr>
          <w:sz w:val="24"/>
          <w:szCs w:val="24"/>
          <w:color w:val="auto"/>
        </w:rPr>
      </w:pPr>
    </w:p>
    <w:p>
      <w:pPr>
        <w:sectPr>
          <w:pgSz w:w="11900" w:h="16838" w:orient="portrait"/>
          <w:cols w:equalWidth="0" w:num="3">
            <w:col w:w="4480" w:space="720"/>
            <w:col w:w="2760" w:space="720"/>
            <w:col w:w="2340"/>
          </w:cols>
          <w:pgMar w:left="440" w:top="376" w:right="439" w:bottom="1440" w:gutter="0" w:footer="0" w:header="0"/>
          <w:type w:val="continuous"/>
        </w:sectPr>
      </w:pPr>
    </w:p>
    <w:p>
      <w:pPr>
        <w:jc w:val="center"/>
        <w:ind w:right="1860"/>
        <w:spacing w:after="0"/>
        <w:rPr>
          <w:sz w:val="20"/>
          <w:szCs w:val="20"/>
          <w:color w:val="auto"/>
        </w:rPr>
      </w:pPr>
      <w:r>
        <w:rPr>
          <w:rFonts w:ascii="Times New Roman" w:cs="Times New Roman" w:eastAsia="Times New Roman" w:hAnsi="Times New Roman"/>
          <w:sz w:val="17"/>
          <w:szCs w:val="17"/>
          <w:b w:val="1"/>
          <w:bCs w:val="1"/>
          <w:color w:val="auto"/>
        </w:rPr>
        <w:t>1850 Towers Crescent Plaza</w:t>
      </w:r>
    </w:p>
    <w:p>
      <w:pPr>
        <w:spacing w:after="0" w:line="43" w:lineRule="exact"/>
        <w:rPr>
          <w:sz w:val="24"/>
          <w:szCs w:val="24"/>
          <w:color w:val="auto"/>
        </w:rPr>
      </w:pPr>
    </w:p>
    <w:p>
      <w:pPr>
        <w:jc w:val="center"/>
        <w:ind w:right="1860"/>
        <w:spacing w:after="0"/>
        <w:rPr>
          <w:sz w:val="20"/>
          <w:szCs w:val="20"/>
          <w:color w:val="auto"/>
        </w:rPr>
      </w:pPr>
      <w:r>
        <w:rPr>
          <w:rFonts w:ascii="Times New Roman" w:cs="Times New Roman" w:eastAsia="Times New Roman" w:hAnsi="Times New Roman"/>
          <w:sz w:val="18"/>
          <w:szCs w:val="18"/>
          <w:b w:val="1"/>
          <w:bCs w:val="1"/>
          <w:color w:val="auto"/>
        </w:rPr>
        <w:t>Tysons Corner, Virginia</w:t>
      </w:r>
    </w:p>
    <w:p>
      <w:pPr>
        <w:spacing w:after="0" w:line="20" w:lineRule="exact"/>
        <w:rPr>
          <w:sz w:val="24"/>
          <w:szCs w:val="24"/>
          <w:color w:val="auto"/>
        </w:rPr>
      </w:pPr>
      <w:r>
        <w:rPr>
          <w:sz w:val="24"/>
          <w:szCs w:val="24"/>
          <w:color w:val="auto"/>
        </w:rPr>
        <w:br w:type="column"/>
      </w:r>
    </w:p>
    <w:p>
      <w:pPr>
        <w:spacing w:after="0" w:line="209"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22182</w:t>
      </w:r>
    </w:p>
    <w:p>
      <w:pPr>
        <w:spacing w:after="0" w:line="43" w:lineRule="exact"/>
        <w:rPr>
          <w:sz w:val="24"/>
          <w:szCs w:val="24"/>
          <w:color w:val="auto"/>
        </w:rPr>
      </w:pPr>
    </w:p>
    <w:p>
      <w:pPr>
        <w:sectPr>
          <w:pgSz w:w="11900" w:h="16838" w:orient="portrait"/>
          <w:cols w:equalWidth="0" w:num="2">
            <w:col w:w="7400" w:space="720"/>
            <w:col w:w="2900"/>
          </w:cols>
          <w:pgMar w:left="440" w:top="376" w:right="439" w:bottom="1440" w:gutter="0" w:footer="0" w:header="0"/>
          <w:type w:val="continuous"/>
        </w:sectPr>
      </w:pPr>
    </w:p>
    <w:p>
      <w:pPr>
        <w:ind w:left="1580"/>
        <w:spacing w:after="0"/>
        <w:rPr>
          <w:sz w:val="20"/>
          <w:szCs w:val="20"/>
          <w:color w:val="auto"/>
        </w:rPr>
      </w:pPr>
      <w:r>
        <w:rPr>
          <w:rFonts w:ascii="Times New Roman" w:cs="Times New Roman" w:eastAsia="Times New Roman" w:hAnsi="Times New Roman"/>
          <w:sz w:val="14"/>
          <w:szCs w:val="14"/>
          <w:b w:val="1"/>
          <w:bCs w:val="1"/>
          <w:color w:val="auto"/>
        </w:rPr>
        <w:t>(Address of principal executive offices)</w:t>
      </w:r>
    </w:p>
    <w:p>
      <w:pPr>
        <w:spacing w:after="0" w:line="20" w:lineRule="exact"/>
        <w:rPr>
          <w:sz w:val="24"/>
          <w:szCs w:val="24"/>
          <w:color w:val="auto"/>
        </w:rPr>
      </w:pPr>
      <w:r>
        <w:rPr>
          <w:sz w:val="24"/>
          <w:szCs w:val="24"/>
          <w:color w:val="auto"/>
        </w:rPr>
        <w:br w:type="column"/>
      </w:r>
    </w:p>
    <w:p>
      <w:pPr>
        <w:spacing w:after="0"/>
        <w:rPr>
          <w:sz w:val="20"/>
          <w:szCs w:val="20"/>
          <w:color w:val="auto"/>
        </w:rPr>
      </w:pPr>
      <w:r>
        <w:rPr>
          <w:rFonts w:ascii="Times New Roman" w:cs="Times New Roman" w:eastAsia="Times New Roman" w:hAnsi="Times New Roman"/>
          <w:sz w:val="14"/>
          <w:szCs w:val="14"/>
          <w:b w:val="1"/>
          <w:bCs w:val="1"/>
          <w:color w:val="auto"/>
        </w:rPr>
        <w:t>(Zip Code)</w:t>
      </w:r>
    </w:p>
    <w:p>
      <w:pPr>
        <w:spacing w:after="0" w:line="114" w:lineRule="exact"/>
        <w:rPr>
          <w:sz w:val="24"/>
          <w:szCs w:val="24"/>
          <w:color w:val="auto"/>
        </w:rPr>
      </w:pPr>
    </w:p>
    <w:p>
      <w:pPr>
        <w:sectPr>
          <w:pgSz w:w="11900" w:h="16838" w:orient="portrait"/>
          <w:cols w:equalWidth="0" w:num="2">
            <w:col w:w="7280" w:space="720"/>
            <w:col w:w="3020"/>
          </w:cols>
          <w:pgMar w:left="440" w:top="376" w:right="439" w:bottom="1440" w:gutter="0" w:footer="0" w:header="0"/>
          <w:type w:val="continuous"/>
        </w:sectPr>
      </w:pPr>
    </w:p>
    <w:p>
      <w:pPr>
        <w:jc w:val="center"/>
        <w:spacing w:after="0"/>
        <w:rPr>
          <w:sz w:val="20"/>
          <w:szCs w:val="20"/>
          <w:color w:val="auto"/>
        </w:rPr>
      </w:pPr>
      <w:r>
        <w:rPr>
          <w:rFonts w:ascii="Times New Roman" w:cs="Times New Roman" w:eastAsia="Times New Roman" w:hAnsi="Times New Roman"/>
          <w:sz w:val="18"/>
          <w:szCs w:val="18"/>
          <w:b w:val="1"/>
          <w:bCs w:val="1"/>
          <w:color w:val="auto"/>
        </w:rPr>
        <w:t>Registrant’s telephone number, including area code: (703) 848-8600</w:t>
      </w:r>
    </w:p>
    <w:p>
      <w:pPr>
        <w:spacing w:after="0" w:line="371"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(Former name or former address, if changed since last report)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170815</wp:posOffset>
            </wp:positionV>
            <wp:extent cx="1474470"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392" w:lineRule="exact"/>
        <w:rPr>
          <w:sz w:val="24"/>
          <w:szCs w:val="24"/>
          <w:color w:val="auto"/>
        </w:rPr>
      </w:pPr>
    </w:p>
    <w:p>
      <w:pPr>
        <w:ind w:right="480"/>
        <w:spacing w:after="0" w:line="282" w:lineRule="auto"/>
        <w:rPr>
          <w:sz w:val="20"/>
          <w:szCs w:val="20"/>
          <w:color w:val="auto"/>
        </w:rPr>
      </w:pPr>
      <w:r>
        <w:rPr>
          <w:rFonts w:ascii="Times New Roman" w:cs="Times New Roman" w:eastAsia="Times New Roman" w:hAnsi="Times New Roman"/>
          <w:sz w:val="18"/>
          <w:szCs w:val="18"/>
          <w:color w:val="auto"/>
        </w:rPr>
        <w:t>Check the appropriate box below if the Form 8-K filing is intended to simultaneously satisfy the filing obligation of the registrant under any of the following provisions (</w:t>
      </w:r>
      <w:r>
        <w:rPr>
          <w:rFonts w:ascii="Times New Roman" w:cs="Times New Roman" w:eastAsia="Times New Roman" w:hAnsi="Times New Roman"/>
          <w:sz w:val="18"/>
          <w:szCs w:val="18"/>
          <w:u w:val="single" w:color="auto"/>
          <w:color w:val="auto"/>
        </w:rPr>
        <w:t>see</w:t>
      </w:r>
      <w:r>
        <w:rPr>
          <w:rFonts w:ascii="Times New Roman" w:cs="Times New Roman" w:eastAsia="Times New Roman" w:hAnsi="Times New Roman"/>
          <w:sz w:val="18"/>
          <w:szCs w:val="18"/>
          <w:color w:val="auto"/>
        </w:rPr>
        <w:t xml:space="preserve"> General Instruction A.2. below):</w:t>
      </w:r>
    </w:p>
    <w:p>
      <w:pPr>
        <w:spacing w:after="0" w:line="67" w:lineRule="exact"/>
        <w:rPr>
          <w:sz w:val="24"/>
          <w:szCs w:val="24"/>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Written communications pursuant to Rule 425 under the Securities Act (17 CFR 230.425)</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Soliciting material pursuant to Rule 14a-12 under the Exchange Act (17 CFR 240.14a-12)</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14d-2(b) under the Exchange Act (17 CFR 240.14d-2(b))</w:t>
      </w:r>
    </w:p>
    <w:p>
      <w:pPr>
        <w:spacing w:after="0" w:line="130" w:lineRule="exact"/>
        <w:rPr>
          <w:rFonts w:ascii="MS PGothic" w:cs="MS PGothic" w:eastAsia="MS PGothic" w:hAnsi="MS PGothic"/>
          <w:sz w:val="18"/>
          <w:szCs w:val="18"/>
          <w:color w:val="auto"/>
        </w:rPr>
      </w:pPr>
    </w:p>
    <w:p>
      <w:pPr>
        <w:ind w:right="2020" w:firstLine="428"/>
        <w:spacing w:after="0" w:line="411" w:lineRule="auto"/>
        <w:tabs>
          <w:tab w:leader="none" w:pos="972"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13e-4(c) under the Exchange Act (17 CFR 240.13e-4(c)) Securities registered pursuant to Section 12(b) of the Act:</w:t>
      </w:r>
    </w:p>
    <w:tbl>
      <w:tblPr>
        <w:tblLayout w:type="fixed"/>
        <w:tblInd w:w="0" w:type="dxa"/>
        <w:tblCellMar>
          <w:top w:w="0" w:type="dxa"/>
          <w:left w:w="0" w:type="dxa"/>
          <w:bottom w:w="0" w:type="dxa"/>
          <w:right w:w="0" w:type="dxa"/>
        </w:tblCellMar>
      </w:tblPr>
      <w:tr>
        <w:trPr>
          <w:trHeight w:val="149"/>
        </w:trPr>
        <w:tc>
          <w:tcPr>
            <w:tcW w:w="3860" w:type="dxa"/>
            <w:vAlign w:val="bottom"/>
            <w:gridSpan w:val="2"/>
            <w:vMerge w:val="restart"/>
          </w:tcPr>
          <w:p>
            <w:pPr>
              <w:jc w:val="center"/>
              <w:ind w:right="140"/>
              <w:spacing w:after="0"/>
              <w:rPr>
                <w:sz w:val="20"/>
                <w:szCs w:val="20"/>
                <w:color w:val="auto"/>
              </w:rPr>
            </w:pPr>
            <w:r>
              <w:rPr>
                <w:rFonts w:ascii="Times New Roman" w:cs="Times New Roman" w:eastAsia="Times New Roman" w:hAnsi="Times New Roman"/>
                <w:sz w:val="14"/>
                <w:szCs w:val="14"/>
                <w:b w:val="1"/>
                <w:bCs w:val="1"/>
                <w:color w:val="auto"/>
              </w:rPr>
              <w:t>Title of Each Class</w:t>
            </w:r>
          </w:p>
        </w:tc>
        <w:tc>
          <w:tcPr>
            <w:tcW w:w="3620" w:type="dxa"/>
            <w:vAlign w:val="bottom"/>
            <w:gridSpan w:val="2"/>
          </w:tcPr>
          <w:p>
            <w:pPr>
              <w:ind w:left="1520"/>
              <w:spacing w:after="0" w:line="149" w:lineRule="exact"/>
              <w:rPr>
                <w:sz w:val="20"/>
                <w:szCs w:val="20"/>
                <w:color w:val="auto"/>
              </w:rPr>
            </w:pPr>
            <w:r>
              <w:rPr>
                <w:rFonts w:ascii="Times New Roman" w:cs="Times New Roman" w:eastAsia="Times New Roman" w:hAnsi="Times New Roman"/>
                <w:sz w:val="14"/>
                <w:szCs w:val="14"/>
                <w:b w:val="1"/>
                <w:bCs w:val="1"/>
                <w:color w:val="auto"/>
              </w:rPr>
              <w:t>Trading</w:t>
            </w:r>
          </w:p>
        </w:tc>
        <w:tc>
          <w:tcPr>
            <w:tcW w:w="354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Name of Each Exchange</w:t>
            </w:r>
          </w:p>
        </w:tc>
        <w:tc>
          <w:tcPr>
            <w:tcW w:w="0" w:type="dxa"/>
            <w:vAlign w:val="bottom"/>
          </w:tcPr>
          <w:p>
            <w:pPr>
              <w:spacing w:after="0"/>
              <w:rPr>
                <w:sz w:val="1"/>
                <w:szCs w:val="1"/>
                <w:color w:val="auto"/>
              </w:rPr>
            </w:pPr>
          </w:p>
        </w:tc>
      </w:tr>
      <w:tr>
        <w:trPr>
          <w:trHeight w:val="187"/>
        </w:trPr>
        <w:tc>
          <w:tcPr>
            <w:tcW w:w="3860" w:type="dxa"/>
            <w:vAlign w:val="bottom"/>
            <w:gridSpan w:val="2"/>
            <w:vMerge w:val="continue"/>
          </w:tcPr>
          <w:p>
            <w:pPr>
              <w:spacing w:after="0"/>
              <w:rPr>
                <w:sz w:val="16"/>
                <w:szCs w:val="16"/>
                <w:color w:val="auto"/>
              </w:rPr>
            </w:pP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4"/>
                <w:szCs w:val="14"/>
                <w:b w:val="1"/>
                <w:bCs w:val="1"/>
                <w:color w:val="auto"/>
              </w:rPr>
              <w:t>Symbol</w:t>
            </w:r>
          </w:p>
        </w:tc>
        <w:tc>
          <w:tcPr>
            <w:tcW w:w="35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on which Registered</w:t>
            </w:r>
          </w:p>
        </w:tc>
        <w:tc>
          <w:tcPr>
            <w:tcW w:w="0" w:type="dxa"/>
            <w:vAlign w:val="bottom"/>
          </w:tcPr>
          <w:p>
            <w:pPr>
              <w:spacing w:after="0"/>
              <w:rPr>
                <w:sz w:val="1"/>
                <w:szCs w:val="1"/>
                <w:color w:val="auto"/>
              </w:rPr>
            </w:pPr>
          </w:p>
        </w:tc>
      </w:tr>
      <w:tr>
        <w:trPr>
          <w:trHeight w:val="228"/>
        </w:trPr>
        <w:tc>
          <w:tcPr>
            <w:tcW w:w="37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w w:val="99"/>
              </w:rPr>
              <w:t>Class A common stock, par value $0.001 per share</w:t>
            </w:r>
          </w:p>
        </w:tc>
        <w:tc>
          <w:tcPr>
            <w:tcW w:w="120" w:type="dxa"/>
            <w:vAlign w:val="bottom"/>
          </w:tcPr>
          <w:p>
            <w:pPr>
              <w:spacing w:after="0"/>
              <w:rPr>
                <w:sz w:val="19"/>
                <w:szCs w:val="19"/>
                <w:color w:val="auto"/>
              </w:rPr>
            </w:pPr>
          </w:p>
        </w:tc>
        <w:tc>
          <w:tcPr>
            <w:tcW w:w="3520" w:type="dxa"/>
            <w:vAlign w:val="bottom"/>
            <w:tcBorders>
              <w:top w:val="single" w:sz="8" w:color="auto"/>
            </w:tcBorders>
          </w:tcPr>
          <w:p>
            <w:pPr>
              <w:ind w:left="1520"/>
              <w:spacing w:after="0"/>
              <w:rPr>
                <w:sz w:val="20"/>
                <w:szCs w:val="20"/>
                <w:color w:val="auto"/>
              </w:rPr>
            </w:pPr>
            <w:r>
              <w:rPr>
                <w:rFonts w:ascii="Times New Roman" w:cs="Times New Roman" w:eastAsia="Times New Roman" w:hAnsi="Times New Roman"/>
                <w:sz w:val="18"/>
                <w:szCs w:val="18"/>
                <w:color w:val="auto"/>
              </w:rPr>
              <w:t>MSTR</w:t>
            </w:r>
          </w:p>
        </w:tc>
        <w:tc>
          <w:tcPr>
            <w:tcW w:w="100" w:type="dxa"/>
            <w:vAlign w:val="bottom"/>
          </w:tcPr>
          <w:p>
            <w:pPr>
              <w:spacing w:after="0"/>
              <w:rPr>
                <w:sz w:val="19"/>
                <w:szCs w:val="19"/>
                <w:color w:val="auto"/>
              </w:rPr>
            </w:pPr>
          </w:p>
        </w:tc>
        <w:tc>
          <w:tcPr>
            <w:tcW w:w="35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rPr>
              <w:t>The Nasdaq Global Select Market</w:t>
            </w:r>
          </w:p>
        </w:tc>
        <w:tc>
          <w:tcPr>
            <w:tcW w:w="0" w:type="dxa"/>
            <w:vAlign w:val="bottom"/>
          </w:tcPr>
          <w:p>
            <w:pPr>
              <w:spacing w:after="0"/>
              <w:rPr>
                <w:sz w:val="1"/>
                <w:szCs w:val="1"/>
                <w:color w:val="auto"/>
              </w:rPr>
            </w:pPr>
          </w:p>
        </w:tc>
      </w:tr>
    </w:tbl>
    <w:p>
      <w:pPr>
        <w:spacing w:after="0" w:line="112" w:lineRule="exact"/>
        <w:rPr>
          <w:sz w:val="24"/>
          <w:szCs w:val="24"/>
          <w:color w:val="auto"/>
        </w:rPr>
      </w:pPr>
    </w:p>
    <w:p>
      <w:pPr>
        <w:ind w:right="300"/>
        <w:spacing w:after="0" w:line="282" w:lineRule="auto"/>
        <w:rPr>
          <w:sz w:val="20"/>
          <w:szCs w:val="20"/>
          <w:color w:val="auto"/>
        </w:rPr>
      </w:pPr>
      <w:r>
        <w:rPr>
          <w:rFonts w:ascii="Times New Roman" w:cs="Times New Roman" w:eastAsia="Times New Roman" w:hAnsi="Times New Roman"/>
          <w:sz w:val="18"/>
          <w:szCs w:val="18"/>
          <w:color w:val="auto"/>
        </w:rPr>
        <w:t>Indicate by check mark whether the registrant is an emerging growth company as defined in Rule 405 of the Securities Act of 1933 (§230.405 of this chapter) or Rule 12b-2 of the Securities Exchange Act of 1934 (§240.12b-2 of this chapter).</w:t>
      </w:r>
    </w:p>
    <w:p>
      <w:pPr>
        <w:spacing w:after="0" w:line="53" w:lineRule="exact"/>
        <w:rPr>
          <w:sz w:val="24"/>
          <w:szCs w:val="24"/>
          <w:color w:val="auto"/>
        </w:rPr>
      </w:pPr>
    </w:p>
    <w:p>
      <w:pPr>
        <w:spacing w:after="0" w:line="207" w:lineRule="exact"/>
        <w:rPr>
          <w:sz w:val="20"/>
          <w:szCs w:val="20"/>
          <w:color w:val="auto"/>
        </w:rPr>
      </w:pPr>
      <w:r>
        <w:rPr>
          <w:rFonts w:ascii="Times New Roman" w:cs="Times New Roman" w:eastAsia="Times New Roman" w:hAnsi="Times New Roman"/>
          <w:sz w:val="18"/>
          <w:szCs w:val="18"/>
          <w:color w:val="auto"/>
        </w:rPr>
        <w:t xml:space="preserve">Emerging growth company  </w:t>
      </w:r>
      <w:r>
        <w:rPr>
          <w:rFonts w:ascii="MS PGothic" w:cs="MS PGothic" w:eastAsia="MS PGothic" w:hAnsi="MS PGothic"/>
          <w:sz w:val="18"/>
          <w:szCs w:val="18"/>
          <w:color w:val="auto"/>
        </w:rPr>
        <w:t>☐</w:t>
      </w:r>
    </w:p>
    <w:p>
      <w:pPr>
        <w:spacing w:after="0" w:line="185" w:lineRule="exact"/>
        <w:rPr>
          <w:sz w:val="24"/>
          <w:szCs w:val="24"/>
          <w:color w:val="auto"/>
        </w:rPr>
      </w:pPr>
    </w:p>
    <w:p>
      <w:pPr>
        <w:ind w:right="300"/>
        <w:spacing w:after="0" w:line="239" w:lineRule="exact"/>
        <w:rPr>
          <w:sz w:val="20"/>
          <w:szCs w:val="20"/>
          <w:color w:val="auto"/>
        </w:rPr>
      </w:pPr>
      <w:r>
        <w:rPr>
          <w:rFonts w:ascii="Times New Roman" w:cs="Times New Roman" w:eastAsia="Times New Roman" w:hAnsi="Times New Roman"/>
          <w:sz w:val="18"/>
          <w:szCs w:val="18"/>
          <w:color w:val="auto"/>
        </w:rPr>
        <w:t xml:space="preserve">If an emerging growth company, indicate by check mark if the registrant has elected not to use the extended transition period for complying with any new or revised financial accounting standards provided pursuant to Section 13(a) of the Exchange Act.  </w:t>
      </w:r>
      <w:r>
        <w:rPr>
          <w:rFonts w:ascii="MS PGothic" w:cs="MS PGothic" w:eastAsia="MS PGothic" w:hAnsi="MS PGothic"/>
          <w:sz w:val="18"/>
          <w:szCs w:val="18"/>
          <w:color w:val="auto"/>
        </w:rPr>
        <w: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-1905</wp:posOffset>
            </wp:positionH>
            <wp:positionV relativeFrom="paragraph">
              <wp:posOffset>137160</wp:posOffset>
            </wp:positionV>
            <wp:extent cx="6995160" cy="889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extLst>
                    </a:blip>
                    <a:srcRect/>
                    <a:stretch>
                      <a:fillRect/>
                    </a:stretch>
                  </pic:blipFill>
                  <pic:spPr bwMode="auto">
                    <a:xfrm>
                      <a:off x="0" y="0"/>
                      <a:ext cx="6995160" cy="8890"/>
                    </a:xfrm>
                    <a:prstGeom prst="rect">
                      <a:avLst/>
                    </a:prstGeom>
                    <a:noFill/>
                  </pic:spPr>
                </pic:pic>
              </a:graphicData>
            </a:graphic>
          </wp:anchor>
        </w:drawing>
        <w:drawing>
          <wp:anchor simplePos="0" relativeHeight="251657728" behindDoc="1" locked="0" layoutInCell="0" allowOverlap="1">
            <wp:simplePos x="0" y="0"/>
            <wp:positionH relativeFrom="column">
              <wp:posOffset>-1905</wp:posOffset>
            </wp:positionH>
            <wp:positionV relativeFrom="paragraph">
              <wp:posOffset>179705</wp:posOffset>
            </wp:positionV>
            <wp:extent cx="6995160" cy="889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extLst>
                    </a:blip>
                    <a:srcRect/>
                    <a:stretch>
                      <a:fillRect/>
                    </a:stretch>
                  </pic:blipFill>
                  <pic:spPr bwMode="auto">
                    <a:xfrm>
                      <a:off x="0" y="0"/>
                      <a:ext cx="6995160" cy="8890"/>
                    </a:xfrm>
                    <a:prstGeom prst="rect">
                      <a:avLst/>
                    </a:prstGeom>
                    <a:noFill/>
                  </pic:spPr>
                </pic:pic>
              </a:graphicData>
            </a:graphic>
          </wp:anchor>
        </w:drawing>
      </w:r>
    </w:p>
    <w:p>
      <w:pPr>
        <w:sectPr>
          <w:pgSz w:w="11900" w:h="16838" w:orient="portrait"/>
          <w:cols w:equalWidth="0" w:num="1">
            <w:col w:w="11020"/>
          </w:cols>
          <w:pgMar w:left="440" w:top="376" w:right="439" w:bottom="1440" w:gutter="0" w:footer="0" w:header="0"/>
          <w:type w:val="continuous"/>
        </w:sectPr>
      </w:pPr>
    </w:p>
    <w:bookmarkStart w:id="1" w:name="page2"/>
    <w:bookmarkEnd w:id="1"/>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extLst>
                    </a:blip>
                    <a:srcRect/>
                    <a:stretch>
                      <a:fillRect/>
                    </a:stretch>
                  </pic:blipFill>
                  <pic:spPr bwMode="auto">
                    <a:xfrm>
                      <a:off x="0" y="0"/>
                      <a:ext cx="7174865" cy="55880"/>
                    </a:xfrm>
                    <a:prstGeom prst="rect">
                      <a:avLst/>
                    </a:prstGeom>
                    <a:noFill/>
                  </pic:spPr>
                </pic:pic>
              </a:graphicData>
            </a:graphic>
          </wp:anchor>
        </w:drawing>
        <w:t>Item 8.01</w:t>
      </w:r>
      <w:r>
        <w:rPr>
          <w:sz w:val="20"/>
          <w:szCs w:val="20"/>
          <w:color w:val="auto"/>
        </w:rPr>
        <w:tab/>
      </w:r>
      <w:r>
        <w:rPr>
          <w:rFonts w:ascii="Times New Roman" w:cs="Times New Roman" w:eastAsia="Times New Roman" w:hAnsi="Times New Roman"/>
          <w:sz w:val="18"/>
          <w:szCs w:val="18"/>
          <w:b w:val="1"/>
          <w:bCs w:val="1"/>
          <w:color w:val="auto"/>
        </w:rPr>
        <w:t>Other Events.</w:t>
      </w:r>
    </w:p>
    <w:p>
      <w:pPr>
        <w:spacing w:after="0" w:line="121" w:lineRule="exact"/>
        <w:rPr>
          <w:sz w:val="20"/>
          <w:szCs w:val="20"/>
          <w:color w:val="auto"/>
        </w:rPr>
      </w:pPr>
    </w:p>
    <w:p>
      <w:pPr>
        <w:spacing w:after="0" w:line="258" w:lineRule="auto"/>
        <w:rPr>
          <w:sz w:val="20"/>
          <w:szCs w:val="20"/>
          <w:color w:val="auto"/>
        </w:rPr>
      </w:pPr>
      <w:r>
        <w:rPr>
          <w:rFonts w:ascii="Times New Roman" w:cs="Times New Roman" w:eastAsia="Times New Roman" w:hAnsi="Times New Roman"/>
          <w:sz w:val="18"/>
          <w:szCs w:val="18"/>
          <w:color w:val="auto"/>
        </w:rPr>
        <w:t>On July 11, 2024, MicroStrategy Incorporated (the “Company”) announced that its board of directors has declared a 10-for-1 stock split of the Company’s class A common stock and class B common stock. The stock split will be effected by means of a stock dividend to the holders of record of the Company’s class A common stock and class B common stock as of the close of business on August 1, 2024, the record date for the dividend. The dividend is expected to be distributed after the close of trading on August 7, 2024. Trading is expected to commence on a split-adjusted basis at market open on August 8, 2024.</w:t>
      </w:r>
    </w:p>
    <w:p>
      <w:pPr>
        <w:spacing w:after="0" w:line="183" w:lineRule="exact"/>
        <w:rPr>
          <w:sz w:val="20"/>
          <w:szCs w:val="20"/>
          <w:color w:val="auto"/>
        </w:rPr>
      </w:pPr>
    </w:p>
    <w:p>
      <w:pPr>
        <w:ind w:right="780"/>
        <w:spacing w:after="0" w:line="282" w:lineRule="auto"/>
        <w:rPr>
          <w:sz w:val="20"/>
          <w:szCs w:val="20"/>
          <w:color w:val="auto"/>
        </w:rPr>
      </w:pPr>
      <w:r>
        <w:rPr>
          <w:rFonts w:ascii="Times New Roman" w:cs="Times New Roman" w:eastAsia="Times New Roman" w:hAnsi="Times New Roman"/>
          <w:sz w:val="18"/>
          <w:szCs w:val="18"/>
          <w:color w:val="auto"/>
        </w:rPr>
        <w:t>The Company issued a press release announcing the stock split. A copy of the press release is filed as Exhibit 99.1 to this Current Report on Form 8-K and is incorporated herein by reference.</w:t>
      </w:r>
    </w:p>
    <w:p>
      <w:pPr>
        <w:spacing w:after="0" w:line="306" w:lineRule="exact"/>
        <w:rPr>
          <w:sz w:val="20"/>
          <w:szCs w:val="20"/>
          <w:color w:val="auto"/>
        </w:rPr>
      </w:pPr>
    </w:p>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t>Item 9.01.</w:t>
      </w:r>
      <w:r>
        <w:rPr>
          <w:sz w:val="20"/>
          <w:szCs w:val="20"/>
          <w:color w:val="auto"/>
        </w:rPr>
        <w:tab/>
      </w:r>
      <w:r>
        <w:rPr>
          <w:rFonts w:ascii="Times New Roman" w:cs="Times New Roman" w:eastAsia="Times New Roman" w:hAnsi="Times New Roman"/>
          <w:sz w:val="18"/>
          <w:szCs w:val="18"/>
          <w:b w:val="1"/>
          <w:bCs w:val="1"/>
          <w:color w:val="auto"/>
        </w:rPr>
        <w:t>Financial Statements and Exhibits.</w:t>
      </w:r>
    </w:p>
    <w:p>
      <w:pPr>
        <w:spacing w:after="0" w:line="1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(d) Exhibits</w:t>
      </w:r>
    </w:p>
    <w:p>
      <w:pPr>
        <w:spacing w:after="0" w:line="246" w:lineRule="exact"/>
        <w:rPr>
          <w:sz w:val="20"/>
          <w:szCs w:val="20"/>
          <w:color w:val="auto"/>
        </w:rPr>
      </w:pPr>
    </w:p>
    <w:p>
      <w:pPr>
        <w:spacing w:after="0"/>
        <w:rPr>
          <w:sz w:val="20"/>
          <w:szCs w:val="20"/>
          <w:color w:val="auto"/>
        </w:rPr>
      </w:pPr>
      <w:r>
        <w:rPr>
          <w:rFonts w:ascii="Times New Roman" w:cs="Times New Roman" w:eastAsia="Times New Roman" w:hAnsi="Times New Roman"/>
          <w:sz w:val="14"/>
          <w:szCs w:val="14"/>
          <w:b w:val="1"/>
          <w:bCs w:val="1"/>
          <w:color w:val="auto"/>
        </w:rPr>
        <w:t>Exhibit</w:t>
      </w:r>
    </w:p>
    <w:p>
      <w:pPr>
        <w:spacing w:after="0" w:line="6" w:lineRule="exact"/>
        <w:rPr>
          <w:sz w:val="20"/>
          <w:szCs w:val="20"/>
          <w:color w:val="auto"/>
        </w:rPr>
      </w:pPr>
    </w:p>
    <w:p>
      <w:pPr>
        <w:ind w:left="120"/>
        <w:spacing w:after="0"/>
        <w:tabs>
          <w:tab w:leader="none" w:pos="860" w:val="left"/>
        </w:tabs>
        <w:rPr>
          <w:sz w:val="20"/>
          <w:szCs w:val="20"/>
          <w:color w:val="auto"/>
        </w:rPr>
      </w:pPr>
      <w:r>
        <w:rPr>
          <w:rFonts w:ascii="Times New Roman" w:cs="Times New Roman" w:eastAsia="Times New Roman" w:hAnsi="Times New Roman"/>
          <w:sz w:val="14"/>
          <w:szCs w:val="14"/>
          <w:b w:val="1"/>
          <w:bCs w:val="1"/>
          <w:color w:val="auto"/>
        </w:rPr>
        <w:t>No.</w:t>
      </w:r>
      <w:r>
        <w:rPr>
          <w:sz w:val="20"/>
          <w:szCs w:val="20"/>
          <w:color w:val="auto"/>
        </w:rPr>
        <w:tab/>
      </w:r>
      <w:r>
        <w:rPr>
          <w:rFonts w:ascii="Times New Roman" w:cs="Times New Roman" w:eastAsia="Times New Roman" w:hAnsi="Times New Roman"/>
          <w:sz w:val="14"/>
          <w:szCs w:val="14"/>
          <w:b w:val="1"/>
          <w:bCs w:val="1"/>
          <w:color w:val="auto"/>
        </w:rPr>
        <w:t>Description</w:t>
      </w:r>
    </w:p>
    <w:p>
      <w:pPr>
        <w:spacing w:after="0" w:line="97" w:lineRule="exact"/>
        <w:rPr>
          <w:sz w:val="20"/>
          <w:szCs w:val="20"/>
          <w:color w:val="auto"/>
        </w:rPr>
      </w:pPr>
    </w:p>
    <w:p>
      <w:pPr>
        <w:spacing w:after="0"/>
        <w:tabs>
          <w:tab w:leader="none" w:pos="860" w:val="left"/>
        </w:tabs>
        <w:rPr>
          <w:sz w:val="20"/>
          <w:szCs w:val="20"/>
          <w:color w:val="auto"/>
        </w:rPr>
      </w:pPr>
      <w:r>
        <w:rPr>
          <w:rFonts w:ascii="Times New Roman" w:cs="Times New Roman" w:eastAsia="Times New Roman" w:hAnsi="Times New Roman"/>
          <w:sz w:val="18"/>
          <w:szCs w:val="18"/>
          <w:color w:val="auto"/>
        </w:rPr>
        <w:t>99.1</w:t>
      </w:r>
      <w:r>
        <w:rPr>
          <w:sz w:val="20"/>
          <w:szCs w:val="20"/>
          <w:color w:val="auto"/>
        </w:rPr>
        <w:tab/>
      </w:r>
      <w:r>
        <w:rPr>
          <w:rFonts w:ascii="Times New Roman" w:cs="Times New Roman" w:eastAsia="Times New Roman" w:hAnsi="Times New Roman"/>
          <w:sz w:val="17"/>
          <w:szCs w:val="17"/>
          <w:u w:val="single" w:color="auto"/>
          <w:color w:val="0000EE"/>
        </w:rPr>
        <w:t>Press Release, dated July 11, 2024, announcing the stock split.</w:t>
      </w:r>
    </w:p>
    <w:p>
      <w:pPr>
        <w:spacing w:after="0" w:line="117" w:lineRule="exact"/>
        <w:rPr>
          <w:sz w:val="20"/>
          <w:szCs w:val="20"/>
          <w:color w:val="auto"/>
        </w:rPr>
      </w:pPr>
    </w:p>
    <w:p>
      <w:pPr>
        <w:spacing w:after="0"/>
        <w:tabs>
          <w:tab w:leader="none" w:pos="860" w:val="left"/>
        </w:tabs>
        <w:rPr>
          <w:sz w:val="20"/>
          <w:szCs w:val="20"/>
          <w:color w:val="auto"/>
        </w:rPr>
      </w:pPr>
      <w:r>
        <w:rPr>
          <w:rFonts w:ascii="Times New Roman" w:cs="Times New Roman" w:eastAsia="Times New Roman" w:hAnsi="Times New Roman"/>
          <w:sz w:val="18"/>
          <w:szCs w:val="18"/>
          <w:color w:val="auto"/>
        </w:rPr>
        <w:t>104</w:t>
      </w:r>
      <w:r>
        <w:rPr>
          <w:sz w:val="20"/>
          <w:szCs w:val="20"/>
          <w:color w:val="auto"/>
        </w:rPr>
        <w:tab/>
      </w:r>
      <w:r>
        <w:rPr>
          <w:rFonts w:ascii="Times New Roman" w:cs="Times New Roman" w:eastAsia="Times New Roman" w:hAnsi="Times New Roman"/>
          <w:sz w:val="18"/>
          <w:szCs w:val="18"/>
          <w:color w:val="auto"/>
        </w:rPr>
        <w:t>Cover Page Interactive Data File (embedded within the Inline XBRL document).</w:t>
      </w:r>
    </w:p>
    <w:p>
      <w:pPr>
        <w:sectPr>
          <w:pgSz w:w="11900" w:h="16838" w:orient="portrait"/>
          <w:cols w:equalWidth="0" w:num="1">
            <w:col w:w="10860"/>
          </w:cols>
          <w:pgMar w:left="440" w:top="293" w:right="599" w:bottom="1440" w:gutter="0" w:footer="0" w:header="0"/>
        </w:sectPr>
      </w:pPr>
    </w:p>
    <w:bookmarkStart w:id="2" w:name="page3"/>
    <w:bookmarkEnd w:id="2"/>
    <w:p>
      <w:pPr>
        <w:jc w:val="cente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24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extLst>
                    </a:blip>
                    <a:srcRect/>
                    <a:stretch>
                      <a:fillRect/>
                    </a:stretch>
                  </pic:blipFill>
                  <pic:spPr bwMode="auto">
                    <a:xfrm>
                      <a:off x="0" y="0"/>
                      <a:ext cx="7174865" cy="55245"/>
                    </a:xfrm>
                    <a:prstGeom prst="rect">
                      <a:avLst/>
                    </a:prstGeom>
                    <a:noFill/>
                  </pic:spPr>
                </pic:pic>
              </a:graphicData>
            </a:graphic>
          </wp:anchor>
        </w:drawing>
        <w:t>SIGNATURE</w:t>
      </w:r>
    </w:p>
    <w:p>
      <w:pPr>
        <w:spacing w:after="0" w:line="229" w:lineRule="exact"/>
        <w:rPr>
          <w:sz w:val="20"/>
          <w:szCs w:val="20"/>
          <w:color w:val="auto"/>
        </w:rPr>
      </w:pPr>
    </w:p>
    <w:p>
      <w:pPr>
        <w:ind w:right="20"/>
        <w:spacing w:after="0" w:line="282" w:lineRule="auto"/>
        <w:rPr>
          <w:sz w:val="20"/>
          <w:szCs w:val="20"/>
          <w:color w:val="auto"/>
        </w:rPr>
      </w:pPr>
      <w:r>
        <w:rPr>
          <w:rFonts w:ascii="Times New Roman" w:cs="Times New Roman" w:eastAsia="Times New Roman" w:hAnsi="Times New Roman"/>
          <w:sz w:val="18"/>
          <w:szCs w:val="18"/>
          <w:color w:val="auto"/>
        </w:rPr>
        <w:t>Pursuant to the requirements of the Securities Exchange Act of 1934, as amended, the Registrant has duly caused this report to be signed on its behalf by the undersigned hereunto duly authorized.</w:t>
      </w:r>
    </w:p>
    <w:p>
      <w:pPr>
        <w:spacing w:after="0" w:line="189" w:lineRule="exact"/>
        <w:rPr>
          <w:sz w:val="20"/>
          <w:szCs w:val="20"/>
          <w:color w:val="auto"/>
        </w:rPr>
      </w:pPr>
    </w:p>
    <w:tbl>
      <w:tblPr>
        <w:tblLayout w:type="fixed"/>
        <w:tblInd w:w="0" w:type="dxa"/>
        <w:tblCellMar>
          <w:top w:w="0" w:type="dxa"/>
          <w:left w:w="0" w:type="dxa"/>
          <w:bottom w:w="0" w:type="dxa"/>
          <w:right w:w="0" w:type="dxa"/>
        </w:tblCellMar>
      </w:tblPr>
      <w:tr>
        <w:trPr>
          <w:trHeight w:val="216"/>
        </w:trPr>
        <w:tc>
          <w:tcPr>
            <w:tcW w:w="3460" w:type="dxa"/>
            <w:vAlign w:val="bottom"/>
          </w:tcPr>
          <w:p>
            <w:pPr>
              <w:spacing w:after="0"/>
              <w:rPr>
                <w:sz w:val="20"/>
                <w:szCs w:val="20"/>
                <w:color w:val="auto"/>
              </w:rPr>
            </w:pPr>
            <w:r>
              <w:rPr>
                <w:rFonts w:ascii="Times New Roman" w:cs="Times New Roman" w:eastAsia="Times New Roman" w:hAnsi="Times New Roman"/>
                <w:sz w:val="18"/>
                <w:szCs w:val="18"/>
                <w:color w:val="auto"/>
              </w:rPr>
              <w:t>Date: July 11, 2024</w:t>
            </w:r>
          </w:p>
        </w:tc>
        <w:tc>
          <w:tcPr>
            <w:tcW w:w="7560" w:type="dxa"/>
            <w:vAlign w:val="bottom"/>
            <w:gridSpan w:val="2"/>
          </w:tcPr>
          <w:p>
            <w:pPr>
              <w:ind w:left="2060"/>
              <w:spacing w:after="0"/>
              <w:rPr>
                <w:sz w:val="20"/>
                <w:szCs w:val="20"/>
                <w:color w:val="auto"/>
              </w:rPr>
            </w:pPr>
            <w:r>
              <w:rPr>
                <w:rFonts w:ascii="Times New Roman" w:cs="Times New Roman" w:eastAsia="Times New Roman" w:hAnsi="Times New Roman"/>
                <w:sz w:val="18"/>
                <w:szCs w:val="18"/>
                <w:color w:val="auto"/>
              </w:rPr>
              <w:t>MicroStrategy Incorporated</w:t>
            </w:r>
          </w:p>
        </w:tc>
      </w:tr>
      <w:tr>
        <w:trPr>
          <w:trHeight w:val="234"/>
        </w:trPr>
        <w:tc>
          <w:tcPr>
            <w:tcW w:w="3460" w:type="dxa"/>
            <w:vAlign w:val="bottom"/>
          </w:tcPr>
          <w:p>
            <w:pPr>
              <w:spacing w:after="0"/>
              <w:rPr>
                <w:sz w:val="20"/>
                <w:szCs w:val="20"/>
                <w:color w:val="auto"/>
              </w:rPr>
            </w:pPr>
          </w:p>
        </w:tc>
        <w:tc>
          <w:tcPr>
            <w:tcW w:w="7560" w:type="dxa"/>
            <w:vAlign w:val="bottom"/>
            <w:gridSpan w:val="2"/>
          </w:tcPr>
          <w:p>
            <w:pPr>
              <w:ind w:left="2060"/>
              <w:spacing w:after="0"/>
              <w:rPr>
                <w:sz w:val="20"/>
                <w:szCs w:val="20"/>
                <w:color w:val="auto"/>
              </w:rPr>
            </w:pPr>
            <w:r>
              <w:rPr>
                <w:rFonts w:ascii="Times New Roman" w:cs="Times New Roman" w:eastAsia="Times New Roman" w:hAnsi="Times New Roman"/>
                <w:sz w:val="18"/>
                <w:szCs w:val="18"/>
                <w:color w:val="auto"/>
              </w:rPr>
              <w:t>(Registrant)</w:t>
            </w:r>
          </w:p>
        </w:tc>
      </w:tr>
      <w:tr>
        <w:trPr>
          <w:trHeight w:val="445"/>
        </w:trPr>
        <w:tc>
          <w:tcPr>
            <w:tcW w:w="3460" w:type="dxa"/>
            <w:vAlign w:val="bottom"/>
          </w:tcPr>
          <w:p>
            <w:pPr>
              <w:spacing w:after="0"/>
              <w:rPr>
                <w:sz w:val="24"/>
                <w:szCs w:val="24"/>
                <w:color w:val="auto"/>
              </w:rPr>
            </w:pPr>
          </w:p>
        </w:tc>
        <w:tc>
          <w:tcPr>
            <w:tcW w:w="2700" w:type="dxa"/>
            <w:vAlign w:val="bottom"/>
          </w:tcPr>
          <w:p>
            <w:pPr>
              <w:ind w:left="2060"/>
              <w:spacing w:after="0"/>
              <w:rPr>
                <w:sz w:val="20"/>
                <w:szCs w:val="20"/>
                <w:color w:val="auto"/>
              </w:rPr>
            </w:pPr>
            <w:r>
              <w:rPr>
                <w:rFonts w:ascii="Times New Roman" w:cs="Times New Roman" w:eastAsia="Times New Roman" w:hAnsi="Times New Roman"/>
                <w:sz w:val="18"/>
                <w:szCs w:val="18"/>
                <w:color w:val="auto"/>
              </w:rPr>
              <w:t>By:</w:t>
            </w:r>
          </w:p>
        </w:tc>
        <w:tc>
          <w:tcPr>
            <w:tcW w:w="486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8"/>
                <w:szCs w:val="18"/>
                <w:color w:val="auto"/>
              </w:rPr>
              <w:t>/s/ W. Ming Shao</w:t>
            </w:r>
          </w:p>
        </w:tc>
      </w:tr>
      <w:tr>
        <w:trPr>
          <w:trHeight w:val="205"/>
        </w:trPr>
        <w:tc>
          <w:tcPr>
            <w:tcW w:w="3460" w:type="dxa"/>
            <w:vAlign w:val="bottom"/>
          </w:tcPr>
          <w:p>
            <w:pPr>
              <w:spacing w:after="0"/>
              <w:rPr>
                <w:sz w:val="17"/>
                <w:szCs w:val="17"/>
                <w:color w:val="auto"/>
              </w:rPr>
            </w:pPr>
          </w:p>
        </w:tc>
        <w:tc>
          <w:tcPr>
            <w:tcW w:w="2700" w:type="dxa"/>
            <w:vAlign w:val="bottom"/>
          </w:tcPr>
          <w:p>
            <w:pPr>
              <w:ind w:left="2060"/>
              <w:spacing w:after="0" w:line="205" w:lineRule="exact"/>
              <w:rPr>
                <w:sz w:val="20"/>
                <w:szCs w:val="20"/>
                <w:color w:val="auto"/>
              </w:rPr>
            </w:pPr>
            <w:r>
              <w:rPr>
                <w:rFonts w:ascii="Times New Roman" w:cs="Times New Roman" w:eastAsia="Times New Roman" w:hAnsi="Times New Roman"/>
                <w:sz w:val="18"/>
                <w:szCs w:val="18"/>
                <w:color w:val="auto"/>
              </w:rPr>
              <w:t>Name:</w:t>
            </w:r>
          </w:p>
        </w:tc>
        <w:tc>
          <w:tcPr>
            <w:tcW w:w="4860" w:type="dxa"/>
            <w:vAlign w:val="bottom"/>
          </w:tcPr>
          <w:p>
            <w:pPr>
              <w:spacing w:after="0" w:line="205" w:lineRule="exact"/>
              <w:rPr>
                <w:sz w:val="20"/>
                <w:szCs w:val="20"/>
                <w:color w:val="auto"/>
              </w:rPr>
            </w:pPr>
            <w:r>
              <w:rPr>
                <w:rFonts w:ascii="Times New Roman" w:cs="Times New Roman" w:eastAsia="Times New Roman" w:hAnsi="Times New Roman"/>
                <w:sz w:val="18"/>
                <w:szCs w:val="18"/>
                <w:color w:val="auto"/>
              </w:rPr>
              <w:t>W. Ming Shao</w:t>
            </w:r>
          </w:p>
        </w:tc>
      </w:tr>
      <w:tr>
        <w:trPr>
          <w:trHeight w:val="234"/>
        </w:trPr>
        <w:tc>
          <w:tcPr>
            <w:tcW w:w="3460" w:type="dxa"/>
            <w:vAlign w:val="bottom"/>
          </w:tcPr>
          <w:p>
            <w:pPr>
              <w:spacing w:after="0"/>
              <w:rPr>
                <w:sz w:val="20"/>
                <w:szCs w:val="20"/>
                <w:color w:val="auto"/>
              </w:rPr>
            </w:pPr>
          </w:p>
        </w:tc>
        <w:tc>
          <w:tcPr>
            <w:tcW w:w="2700" w:type="dxa"/>
            <w:vAlign w:val="bottom"/>
          </w:tcPr>
          <w:p>
            <w:pPr>
              <w:ind w:left="2060"/>
              <w:spacing w:after="0"/>
              <w:rPr>
                <w:sz w:val="20"/>
                <w:szCs w:val="20"/>
                <w:color w:val="auto"/>
              </w:rPr>
            </w:pPr>
            <w:r>
              <w:rPr>
                <w:rFonts w:ascii="Times New Roman" w:cs="Times New Roman" w:eastAsia="Times New Roman" w:hAnsi="Times New Roman"/>
                <w:sz w:val="18"/>
                <w:szCs w:val="18"/>
                <w:color w:val="auto"/>
              </w:rPr>
              <w:t>Title:</w:t>
            </w:r>
          </w:p>
        </w:tc>
        <w:tc>
          <w:tcPr>
            <w:tcW w:w="4860" w:type="dxa"/>
            <w:vAlign w:val="bottom"/>
          </w:tcPr>
          <w:p>
            <w:pPr>
              <w:spacing w:after="0"/>
              <w:rPr>
                <w:sz w:val="20"/>
                <w:szCs w:val="20"/>
                <w:color w:val="auto"/>
              </w:rPr>
            </w:pPr>
            <w:r>
              <w:rPr>
                <w:rFonts w:ascii="Times New Roman" w:cs="Times New Roman" w:eastAsia="Times New Roman" w:hAnsi="Times New Roman"/>
                <w:sz w:val="18"/>
                <w:szCs w:val="18"/>
                <w:color w:val="auto"/>
              </w:rPr>
              <w:t>Senior Executive Vice President &amp; General Counsel</w:t>
            </w:r>
          </w:p>
        </w:tc>
      </w:tr>
    </w:tbl>
    <w:p>
      <w:pPr>
        <w:sectPr>
          <w:pgSz w:w="11900" w:h="16838" w:orient="portrait"/>
          <w:cols w:equalWidth="0" w:num="1">
            <w:col w:w="11020"/>
          </w:cols>
          <w:pgMar w:left="440" w:top="293" w:right="439" w:bottom="1440" w:gutter="0" w:footer="0" w:header="0"/>
        </w:sectPr>
      </w:pPr>
    </w:p>
    <w:bookmarkStart w:id="3" w:name="page4"/>
    <w:bookmarkEnd w:id="3"/>
    <w:p>
      <w:pPr>
        <w:jc w:val="right"/>
        <w:spacing w:after="0"/>
        <w:rPr>
          <w:sz w:val="20"/>
          <w:szCs w:val="20"/>
          <w:color w:val="auto"/>
        </w:rPr>
      </w:pPr>
      <w:r>
        <w:rPr>
          <w:rFonts w:ascii="Times New Roman" w:cs="Times New Roman" w:eastAsia="Times New Roman" w:hAnsi="Times New Roman"/>
          <w:sz w:val="18"/>
          <w:szCs w:val="18"/>
          <w:b w:val="1"/>
          <w:bCs w:val="1"/>
          <w:color w:val="auto"/>
        </w:rPr>
        <w:t>Exhibit 99.1</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Announces 10-for-1 Stock Split</w:t>
      </w:r>
    </w:p>
    <w:p>
      <w:pPr>
        <w:spacing w:after="0" w:line="229" w:lineRule="exact"/>
        <w:rPr>
          <w:sz w:val="20"/>
          <w:szCs w:val="20"/>
          <w:color w:val="auto"/>
        </w:rPr>
      </w:pPr>
    </w:p>
    <w:p>
      <w:pPr>
        <w:ind w:right="20"/>
        <w:spacing w:after="0" w:line="230" w:lineRule="auto"/>
        <w:rPr>
          <w:sz w:val="20"/>
          <w:szCs w:val="20"/>
          <w:color w:val="auto"/>
        </w:rPr>
      </w:pPr>
      <w:r>
        <w:rPr>
          <w:rFonts w:ascii="Times New Roman" w:cs="Times New Roman" w:eastAsia="Times New Roman" w:hAnsi="Times New Roman"/>
          <w:sz w:val="18"/>
          <w:szCs w:val="18"/>
          <w:color w:val="auto"/>
        </w:rPr>
        <w:t>TYSONS CORNER, Va., July 11, 2024 — MicroStrategy</w:t>
      </w:r>
      <w:r>
        <w:rPr>
          <w:rFonts w:ascii="Times New Roman" w:cs="Times New Roman" w:eastAsia="Times New Roman" w:hAnsi="Times New Roman"/>
          <w:sz w:val="26"/>
          <w:szCs w:val="26"/>
          <w:color w:val="auto"/>
          <w:vertAlign w:val="superscript"/>
        </w:rPr>
        <w:t>®</w:t>
      </w:r>
      <w:r>
        <w:rPr>
          <w:rFonts w:ascii="Times New Roman" w:cs="Times New Roman" w:eastAsia="Times New Roman" w:hAnsi="Times New Roman"/>
          <w:sz w:val="18"/>
          <w:szCs w:val="18"/>
          <w:color w:val="auto"/>
        </w:rPr>
        <w:t xml:space="preserve"> Incorporated (Nasdaq: MSTR) (“MicroStrategy”) today announced that its board of directors has declared a 10-for-1 stock split of MicroStrategy’s class A common stock and class B common stock to make MicroStrategy’s stock more accessible to investors and employees. The stock split will be effected by means of a stock dividend to the holders of record of MicroStrategy’s class A common stock and class B common stock as of the close of business on August 1, 2024, the record date for the dividend.</w:t>
      </w:r>
    </w:p>
    <w:p>
      <w:pPr>
        <w:spacing w:after="0" w:line="198" w:lineRule="exact"/>
        <w:rPr>
          <w:sz w:val="20"/>
          <w:szCs w:val="20"/>
          <w:color w:val="auto"/>
        </w:rPr>
      </w:pPr>
    </w:p>
    <w:p>
      <w:pPr>
        <w:ind w:right="40"/>
        <w:spacing w:after="0" w:line="261" w:lineRule="auto"/>
        <w:rPr>
          <w:sz w:val="20"/>
          <w:szCs w:val="20"/>
          <w:color w:val="auto"/>
        </w:rPr>
      </w:pPr>
      <w:r>
        <w:rPr>
          <w:rFonts w:ascii="Times New Roman" w:cs="Times New Roman" w:eastAsia="Times New Roman" w:hAnsi="Times New Roman"/>
          <w:sz w:val="18"/>
          <w:szCs w:val="18"/>
          <w:color w:val="auto"/>
        </w:rPr>
        <w:t>As a result of the dividend, each holder of a share of MicroStrategy’s class A common stock will receive nine (9) additional shares of class A common stock and each holder of a share of MicroStrategy’s class B common stock will receive nine (9) additional shares of class B common stock. In each case, the shares are expected to be distributed after the close of trading on August 7, 2024. Trading is expected to commence on a split-adjusted basis at market open on August 8, 2024. The stock dividend will not have any impact on the voting and other rights of stockholders.</w:t>
      </w:r>
    </w:p>
    <w:p>
      <w:pPr>
        <w:spacing w:after="0" w:line="28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About MicroStrategy Incorporated</w:t>
      </w:r>
    </w:p>
    <w:p>
      <w:pPr>
        <w:spacing w:after="0" w:line="121" w:lineRule="exact"/>
        <w:rPr>
          <w:sz w:val="20"/>
          <w:szCs w:val="20"/>
          <w:color w:val="auto"/>
        </w:rPr>
      </w:pPr>
    </w:p>
    <w:p>
      <w:pPr>
        <w:ind w:right="40"/>
        <w:spacing w:after="0" w:line="236" w:lineRule="auto"/>
        <w:rPr>
          <w:sz w:val="20"/>
          <w:szCs w:val="20"/>
          <w:color w:val="auto"/>
        </w:rPr>
      </w:pPr>
      <w:r>
        <w:rPr>
          <w:rFonts w:ascii="Times New Roman" w:cs="Times New Roman" w:eastAsia="Times New Roman" w:hAnsi="Times New Roman"/>
          <w:sz w:val="18"/>
          <w:szCs w:val="18"/>
          <w:color w:val="auto"/>
        </w:rPr>
        <w:t>MicroStrategy (Nasdaq: MSTR) considers itself the world’s first Bitcoin development company. We are a publicly-traded operating company committed to the continued development of the bitcoin network through our activities in the financial markets, advocacy and technology innovation. As an operating business, we are able to use cashflows as well as proceeds from equity and debt financings to accumulate bitcoin, which serves as our primary treasury reserve asset. We also develop and provide industry-leading AI-powered enterprise analytics software that promotes our vision of Intelligence Everywhere</w:t>
      </w:r>
      <w:r>
        <w:rPr>
          <w:rFonts w:ascii="Times New Roman" w:cs="Times New Roman" w:eastAsia="Times New Roman" w:hAnsi="Times New Roman"/>
          <w:sz w:val="26"/>
          <w:szCs w:val="26"/>
          <w:color w:val="auto"/>
          <w:vertAlign w:val="superscript"/>
        </w:rPr>
        <w:t>™</w:t>
      </w:r>
      <w:r>
        <w:rPr>
          <w:rFonts w:ascii="Times New Roman" w:cs="Times New Roman" w:eastAsia="Times New Roman" w:hAnsi="Times New Roman"/>
          <w:sz w:val="18"/>
          <w:szCs w:val="18"/>
          <w:color w:val="auto"/>
        </w:rPr>
        <w:t>, and are using our software development capabilities to develop bitcoin applications. We believe that the combination of our operating structure, bitcoin strategy and focus on technology innovation provides a unique opportunity for value creation.</w:t>
      </w:r>
    </w:p>
    <w:p>
      <w:pPr>
        <w:spacing w:after="0" w:line="200" w:lineRule="exact"/>
        <w:rPr>
          <w:sz w:val="20"/>
          <w:szCs w:val="20"/>
          <w:color w:val="auto"/>
        </w:rPr>
      </w:pPr>
    </w:p>
    <w:p>
      <w:pPr>
        <w:ind w:right="500"/>
        <w:spacing w:after="0" w:line="282" w:lineRule="auto"/>
        <w:rPr>
          <w:sz w:val="20"/>
          <w:szCs w:val="20"/>
          <w:color w:val="auto"/>
        </w:rPr>
      </w:pPr>
      <w:r>
        <w:rPr>
          <w:rFonts w:ascii="Times New Roman" w:cs="Times New Roman" w:eastAsia="Times New Roman" w:hAnsi="Times New Roman"/>
          <w:sz w:val="18"/>
          <w:szCs w:val="18"/>
          <w:color w:val="auto"/>
        </w:rPr>
        <w:t>MicroStrategy and Intelligence Everywhere are either trademarks or registered trademarks of MicroStrategy Incorporated in the United States and certain other countries.</w:t>
      </w:r>
    </w:p>
    <w:p>
      <w:pPr>
        <w:spacing w:after="0" w:line="16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Shirish Jajodia</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Investor Relations</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ir@microstrategy.com</w:t>
      </w:r>
    </w:p>
    <w:sectPr>
      <w:pgSz w:w="11900" w:h="16838" w:orient="portrait"/>
      <w:cols w:equalWidth="0" w:num="1">
        <w:col w:w="11020"/>
      </w:cols>
      <w:pgMar w:left="440" w:top="117" w:right="43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4002009F" w:csb1="DFD70000"/>
  </w:font>
</w:fonts>
</file>

<file path=word/numbering.xml><?xml version="1.0" encoding="utf-8"?>
<w:numbering xmlns:w="http://schemas.openxmlformats.org/wordprocessingml/2006/main">
  <w:abstractNum w:abstractNumId="0">
    <w:nsid w:val="327B23C6"/>
    <w:multiLevelType w:val="hybridMultilevel"/>
    <w:lvl w:ilvl="0">
      <w:lvlJc w:val="left"/>
      <w:lvlText w:val="☐"/>
      <w:numFmt w:val="bullet"/>
      <w:start w:val="1"/>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2024-07-11T07:08:53Z</dcterms:created>
  <dcterms:modified xsi:type="dcterms:W3CDTF">2024-07-11T07:08:53Z</dcterms:modified>
</cp:coreProperties>
</file>